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Falköping kommunfullmäktige</w:t>
      </w:r>
    </w:p>
    <w:p>
      <w:pPr>
        <w:pStyle w:val="Heading1"/>
      </w:pPr>
      <w:r>
        <w:t xml:space="preserve">Inför läsa-skriva-räkna-garanti i Falköpings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Falköping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meritvärdet i Falköping ligger på 225, under rikssnittet. Tidiga insatser saknas enligt kommunens egen kvalitetsgranskning 2025. Liberalerna vill garantera att alla elever når godkänd nivå i årskurs 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Falköping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läsa-skriva-räkna-garanti i alla kommunala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resurser avsätts för tidig screening och stöd i årskurs 1–3.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lärartätheten i lågstadiet höjs med minst 10 procent.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uppföljningsrapport lämnas till barn- och utbildningsnämnden.</w:t>
      </w:r>
    </w:p>
    <w:p>
      <w:pPr>
        <w:spacing w:before="360"/>
      </w:pPr>
    </w:p>
    <w:p>
      <w:r>
        <w:t xml:space="preserve">Falköping,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Falköping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2026-07-14T02:52:58.619Z</dcterms:created>
  <dcterms:modified xsi:type="dcterms:W3CDTF">2026-07-14T02:52:58.619Z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